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676" w:rsidRPr="00A436AF" w:rsidRDefault="00A436AF" w:rsidP="00A50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36AF">
        <w:rPr>
          <w:rFonts w:ascii="Times New Roman" w:hAnsi="Times New Roman" w:cs="Times New Roman"/>
          <w:b/>
          <w:sz w:val="28"/>
          <w:szCs w:val="28"/>
        </w:rPr>
        <w:t>Введена в действие государственная</w:t>
      </w:r>
      <w:r w:rsidRPr="00A436AF">
        <w:rPr>
          <w:rFonts w:ascii="Times New Roman" w:hAnsi="Times New Roman" w:cs="Times New Roman"/>
          <w:b/>
          <w:sz w:val="28"/>
          <w:szCs w:val="28"/>
        </w:rPr>
        <w:t xml:space="preserve"> информационн</w:t>
      </w:r>
      <w:r w:rsidRPr="00A436AF">
        <w:rPr>
          <w:rFonts w:ascii="Times New Roman" w:hAnsi="Times New Roman" w:cs="Times New Roman"/>
          <w:b/>
          <w:sz w:val="28"/>
          <w:szCs w:val="28"/>
        </w:rPr>
        <w:t>ая</w:t>
      </w:r>
      <w:r w:rsidRPr="00A436AF">
        <w:rPr>
          <w:rFonts w:ascii="Times New Roman" w:hAnsi="Times New Roman" w:cs="Times New Roman"/>
          <w:b/>
          <w:sz w:val="28"/>
          <w:szCs w:val="28"/>
        </w:rPr>
        <w:t xml:space="preserve"> систем</w:t>
      </w:r>
      <w:r w:rsidRPr="00A436AF">
        <w:rPr>
          <w:rFonts w:ascii="Times New Roman" w:hAnsi="Times New Roman" w:cs="Times New Roman"/>
          <w:b/>
          <w:sz w:val="28"/>
          <w:szCs w:val="28"/>
        </w:rPr>
        <w:t>а</w:t>
      </w:r>
      <w:r w:rsidRPr="00A436AF">
        <w:rPr>
          <w:rFonts w:ascii="Times New Roman" w:hAnsi="Times New Roman" w:cs="Times New Roman"/>
          <w:b/>
          <w:sz w:val="28"/>
          <w:szCs w:val="28"/>
        </w:rPr>
        <w:t xml:space="preserve"> управления охотой и сохранением охотничьих ресурсов</w:t>
      </w:r>
    </w:p>
    <w:p w:rsidR="00A50676" w:rsidRDefault="00A50676" w:rsidP="00A5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постановлением от 29 августа 2024 года № 1172 утвердило положение о создании и раб</w:t>
      </w:r>
      <w:bookmarkStart w:id="0" w:name="_GoBack"/>
      <w:bookmarkEnd w:id="0"/>
      <w:r w:rsidRPr="00A436AF">
        <w:rPr>
          <w:rFonts w:ascii="Times New Roman" w:hAnsi="Times New Roman" w:cs="Times New Roman"/>
          <w:sz w:val="28"/>
          <w:szCs w:val="28"/>
        </w:rPr>
        <w:t>оте Государственной информационной системы управления охотой и сохранением охотничьих ресурсов (далее — система). Это положение устанавливает порядок разработки, внедрения и эксплуатации ук</w:t>
      </w:r>
      <w:r>
        <w:rPr>
          <w:rFonts w:ascii="Times New Roman" w:hAnsi="Times New Roman" w:cs="Times New Roman"/>
          <w:sz w:val="28"/>
          <w:szCs w:val="28"/>
        </w:rPr>
        <w:t>азанной информационной системы.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 xml:space="preserve">Цель создания системы заключается в повышении качества государственного регулирования в сфере охоты и охраны охотничьих ресурсов, обеспечении доступом к необходимой информации соответствующих органов власти, местных администраций, организаций, </w:t>
      </w:r>
      <w:r>
        <w:rPr>
          <w:rFonts w:ascii="Times New Roman" w:hAnsi="Times New Roman" w:cs="Times New Roman"/>
          <w:sz w:val="28"/>
          <w:szCs w:val="28"/>
        </w:rPr>
        <w:t>частных лиц и предпринимателей.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системы включают: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создание и поддержание реестра охотничьих хозяйств и других реестров, связанных с охотой и охраной охотничьих ресурсов;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proofErr w:type="spellStart"/>
      <w:r w:rsidRPr="00A436A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436AF">
        <w:rPr>
          <w:rFonts w:ascii="Times New Roman" w:hAnsi="Times New Roman" w:cs="Times New Roman"/>
          <w:sz w:val="28"/>
          <w:szCs w:val="28"/>
        </w:rPr>
        <w:t xml:space="preserve"> и выполнение государственных полномочий в сфере охоты и сохранения охотничьих ресурсов;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распространение общедоступной информации в электронном виде, перечень которой устанавливается правительством страны;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выявление изменений численности и условий проживания охотничьих ресурсов вследствие естественных процессов и человеческой деятельности, оценка этих изменений и организация рационального использования ресурсов;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аналитическое сопровождение субъектов охоты и сохранение охотничьих ресурсов, повышение информированности властных структур;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обмен информацией между государственными структурами и субъектами охоты, сбор достоверных данных о положении дел в отрасли, использование единых электронных картографических баз и распределённых систем сбора данных;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направление собранных данных в общую систему государственного экологического мониторинга для последующего анализа состояния среды обитания и популяции охотничьих ресурсов;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формирование базы данных экологической мониторинговой системы, куда заносятся регулярные наблюдения за популяциями охотничьих ресурсов, условиями их жизни и результатами прогнозирования динамики ситуации.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Информационная система включ</w:t>
      </w:r>
      <w:r>
        <w:rPr>
          <w:rFonts w:ascii="Times New Roman" w:hAnsi="Times New Roman" w:cs="Times New Roman"/>
          <w:sz w:val="28"/>
          <w:szCs w:val="28"/>
        </w:rPr>
        <w:t>ает следующие категории данных: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 xml:space="preserve">записи из государственного </w:t>
      </w:r>
      <w:proofErr w:type="spellStart"/>
      <w:r w:rsidRPr="00A436AF">
        <w:rPr>
          <w:rFonts w:ascii="Times New Roman" w:hAnsi="Times New Roman" w:cs="Times New Roman"/>
          <w:sz w:val="28"/>
          <w:szCs w:val="28"/>
        </w:rPr>
        <w:t>охотохозяйственного</w:t>
      </w:r>
      <w:proofErr w:type="spellEnd"/>
      <w:r w:rsidRPr="00A436AF">
        <w:rPr>
          <w:rFonts w:ascii="Times New Roman" w:hAnsi="Times New Roman" w:cs="Times New Roman"/>
          <w:sz w:val="28"/>
          <w:szCs w:val="28"/>
        </w:rPr>
        <w:t xml:space="preserve"> реестра;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разрешительные документы на выращивание охотничьих ресурсов в искусственных условиях;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свидетельства на акклиматизацию, расселение и генетические эксперименты с животными;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lastRenderedPageBreak/>
        <w:t>реестр нарушений охотников и организаторов аукционов на заключение соглашений по хозяйственным вопросам;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лицензии на отлов диких животных;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отчётная документация по добытым животным;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действующие договоры по управлению охотничьими ресурсами.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Эти сведения вносят органы власти, уполномоченные вести государственные реестры и контролировать ситуацию в области охоты и защиты ресурсов. Доступ к информации предоставляется пуб</w:t>
      </w:r>
      <w:r>
        <w:rPr>
          <w:rFonts w:ascii="Times New Roman" w:hAnsi="Times New Roman" w:cs="Times New Roman"/>
          <w:sz w:val="28"/>
          <w:szCs w:val="28"/>
        </w:rPr>
        <w:t>лично либо по закрытым каналам.</w:t>
      </w:r>
    </w:p>
    <w:p w:rsidR="00A436AF" w:rsidRPr="00A436AF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 xml:space="preserve">Для получения общедоступной информации заинтересованные лица могут обратиться через Единый портал государственных и муниципальных услуг (функций), получив соответствующую электронную выписку, </w:t>
      </w:r>
      <w:r w:rsidRPr="00A436AF">
        <w:rPr>
          <w:rFonts w:ascii="Times New Roman" w:hAnsi="Times New Roman" w:cs="Times New Roman"/>
          <w:sz w:val="28"/>
          <w:szCs w:val="28"/>
        </w:rPr>
        <w:t>удостоверенную</w:t>
      </w:r>
      <w:r w:rsidRPr="00A436AF">
        <w:rPr>
          <w:rFonts w:ascii="Times New Roman" w:hAnsi="Times New Roman" w:cs="Times New Roman"/>
          <w:sz w:val="28"/>
          <w:szCs w:val="28"/>
        </w:rPr>
        <w:t xml:space="preserve"> цифро</w:t>
      </w:r>
      <w:r>
        <w:rPr>
          <w:rFonts w:ascii="Times New Roman" w:hAnsi="Times New Roman" w:cs="Times New Roman"/>
          <w:sz w:val="28"/>
          <w:szCs w:val="28"/>
        </w:rPr>
        <w:t>вой подписью оператора системы.</w:t>
      </w:r>
    </w:p>
    <w:p w:rsidR="00A50676" w:rsidRDefault="00A436AF" w:rsidP="00A436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6AF">
        <w:rPr>
          <w:rFonts w:ascii="Times New Roman" w:hAnsi="Times New Roman" w:cs="Times New Roman"/>
          <w:sz w:val="28"/>
          <w:szCs w:val="28"/>
        </w:rPr>
        <w:t>Постановление вступает в законную силу с 1 января 2025 года, кроме некоторых пунктов, имеющих отдельный срок вступления.</w:t>
      </w:r>
    </w:p>
    <w:p w:rsidR="00474BC5" w:rsidRDefault="00474BC5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P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0676" w:rsidRPr="00A5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12"/>
    <w:rsid w:val="00474BC5"/>
    <w:rsid w:val="00A436AF"/>
    <w:rsid w:val="00A50676"/>
    <w:rsid w:val="00F8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71297"/>
  <w15:chartTrackingRefBased/>
  <w15:docId w15:val="{AB11A54C-E7FA-44F7-9AA9-A9B415E2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0676"/>
    <w:rPr>
      <w:b/>
      <w:bCs/>
    </w:rPr>
  </w:style>
  <w:style w:type="character" w:styleId="a5">
    <w:name w:val="Hyperlink"/>
    <w:basedOn w:val="a0"/>
    <w:uiPriority w:val="99"/>
    <w:semiHidden/>
    <w:unhideWhenUsed/>
    <w:rsid w:val="00A506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1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952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269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9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2</cp:revision>
  <dcterms:created xsi:type="dcterms:W3CDTF">2025-06-27T03:35:00Z</dcterms:created>
  <dcterms:modified xsi:type="dcterms:W3CDTF">2025-06-27T03:35:00Z</dcterms:modified>
</cp:coreProperties>
</file>